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C8" w:rsidRPr="00A25B42" w:rsidRDefault="00467AC8" w:rsidP="00467AC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sz w:val="20"/>
          <w:szCs w:val="20"/>
          <w:lang w:val="el-GR"/>
        </w:rPr>
      </w:pPr>
      <w:bookmarkStart w:id="0" w:name="_GoBack"/>
      <w:bookmarkEnd w:id="0"/>
      <w:r>
        <w:rPr>
          <w:lang w:val="el-GR"/>
        </w:rPr>
        <w:t>Φύλλο</w:t>
      </w:r>
      <w:r w:rsidRPr="00531CEC">
        <w:rPr>
          <w:lang w:val="el-GR"/>
        </w:rPr>
        <w:t xml:space="preserve"> Συμμόρφωσης </w:t>
      </w:r>
    </w:p>
    <w:p w:rsidR="00467AC8" w:rsidRDefault="00467AC8" w:rsidP="00467AC8">
      <w:pPr>
        <w:suppressAutoHyphens w:val="0"/>
        <w:autoSpaceDE w:val="0"/>
        <w:spacing w:before="57" w:after="57"/>
        <w:rPr>
          <w:rFonts w:eastAsia="SimSun"/>
          <w:b/>
          <w:bCs/>
          <w:sz w:val="20"/>
          <w:szCs w:val="20"/>
          <w:lang w:val="el-GR"/>
        </w:rPr>
      </w:pPr>
    </w:p>
    <w:p w:rsidR="00467AC8" w:rsidRPr="00D01812" w:rsidRDefault="00467AC8" w:rsidP="00467AC8">
      <w:pPr>
        <w:spacing w:before="57" w:after="57"/>
        <w:rPr>
          <w:i/>
          <w:color w:val="5B9BD5"/>
          <w:sz w:val="20"/>
          <w:szCs w:val="20"/>
          <w:lang w:val="el-GR"/>
        </w:rPr>
      </w:pPr>
    </w:p>
    <w:p w:rsidR="00467AC8" w:rsidRDefault="00467AC8" w:rsidP="00467AC8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b/>
          <w:szCs w:val="22"/>
          <w:u w:val="single"/>
          <w:vertAlign w:val="superscript"/>
          <w:lang w:val="el-GR" w:eastAsia="el-GR"/>
        </w:rPr>
      </w:pPr>
      <w:bookmarkStart w:id="1" w:name="__RefHeading___Toc241_1659156176"/>
      <w:bookmarkEnd w:id="1"/>
      <w:r w:rsidRPr="00F279FC">
        <w:rPr>
          <w:rFonts w:asciiTheme="minorHAnsi" w:hAnsiTheme="minorHAnsi" w:cstheme="minorHAnsi"/>
          <w:b/>
          <w:szCs w:val="22"/>
          <w:u w:val="single"/>
          <w:lang w:val="el-GR" w:eastAsia="el-GR"/>
        </w:rPr>
        <w:t>Απορριμματοφόρου οχήματος  τύπου πρέσας χωρητικότητας 16</w:t>
      </w:r>
      <w:r w:rsidRPr="00F279FC">
        <w:rPr>
          <w:rFonts w:asciiTheme="minorHAnsi" w:hAnsiTheme="minorHAnsi" w:cstheme="minorHAnsi"/>
          <w:b/>
          <w:szCs w:val="22"/>
          <w:u w:val="single"/>
          <w:lang w:val="en-US" w:eastAsia="el-GR"/>
        </w:rPr>
        <w:t>m</w:t>
      </w:r>
      <w:r w:rsidRPr="00F279FC">
        <w:rPr>
          <w:rFonts w:asciiTheme="minorHAnsi" w:hAnsiTheme="minorHAnsi" w:cstheme="minorHAnsi"/>
          <w:b/>
          <w:szCs w:val="22"/>
          <w:u w:val="single"/>
          <w:vertAlign w:val="superscript"/>
          <w:lang w:val="el-GR" w:eastAsia="el-GR"/>
        </w:rPr>
        <w:t>3</w:t>
      </w:r>
    </w:p>
    <w:p w:rsidR="00467AC8" w:rsidRPr="00F279FC" w:rsidRDefault="00467AC8" w:rsidP="00467AC8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b/>
          <w:szCs w:val="22"/>
          <w:u w:val="single"/>
          <w:vertAlign w:val="superscript"/>
          <w:lang w:val="el-GR" w:eastAsia="el-GR"/>
        </w:rPr>
      </w:pPr>
    </w:p>
    <w:tbl>
      <w:tblPr>
        <w:tblW w:w="82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435"/>
        <w:gridCol w:w="1244"/>
        <w:gridCol w:w="1135"/>
        <w:gridCol w:w="1702"/>
      </w:tblGrid>
      <w:tr w:rsidR="00467AC8" w:rsidRPr="00F279FC" w:rsidTr="00DD42BD">
        <w:trPr>
          <w:cantSplit/>
          <w:trHeight w:val="1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7AC8" w:rsidRPr="00F279FC" w:rsidRDefault="00467AC8" w:rsidP="00DD42BD">
            <w:p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Α/Α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ΠΕΡΙΓΡΑΦΗ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ΠΑΡΑΤΗΡΗΣΕΙΣ</w:t>
            </w: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Εισαγωγή 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Γενικές Απαιτήσεις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DC413B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n-US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Πλαίσιο Οχήματος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Κινητήρας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Σύστημα Μετάδοσης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Σύστημα Πέδησης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Σύστημα Διεύθυνσης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Άξονες – Αναρτήσεις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Καμπίνα Οδήγησης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Χρωματισμός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Υπερκατασκευή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Γενικά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Κυρίως σώμα υπερκατασκευής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Σύστημα συμπίεσης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Σύστημα ανύψωσης κάδων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Όπως αναλυτικά ορίζονται στην </w:t>
            </w: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lastRenderedPageBreak/>
              <w:t>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lastRenderedPageBreak/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proofErr w:type="spellStart"/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Δυναμολήπτης</w:t>
            </w:r>
            <w:proofErr w:type="spellEnd"/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(P.T.O.)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Λειτουργικότητα, Αποδοτικότητα και Ασφάλεια 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Ποιότητα, Καταλληλότητα και Αξιοπιστία 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Τεχνική Υποστήριξη και Κάλυψη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Δείγμα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Εκπαίδευση Προσωπικού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Παράδοση Οχημάτων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467AC8" w:rsidRPr="00F279FC" w:rsidTr="00DD42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Συμπληρωματικά Στοιχεία της Τεχνικής Προσφοράς</w:t>
            </w:r>
          </w:p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  <w:r w:rsidRPr="00F279FC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8" w:rsidRPr="00F279FC" w:rsidRDefault="00467AC8" w:rsidP="00DD42BD">
            <w:pPr>
              <w:suppressAutoHyphens w:val="0"/>
              <w:spacing w:after="0"/>
              <w:ind w:left="10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</w:tbl>
    <w:p w:rsidR="00467AC8" w:rsidRDefault="00467AC8" w:rsidP="00467AC8">
      <w:pPr>
        <w:rPr>
          <w:lang w:val="el-GR"/>
        </w:rPr>
      </w:pPr>
    </w:p>
    <w:p w:rsidR="00FD2CD1" w:rsidRDefault="00FD2CD1"/>
    <w:sectPr w:rsidR="00FD2CD1" w:rsidSect="00FD2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F7BFC"/>
    <w:multiLevelType w:val="hybridMultilevel"/>
    <w:tmpl w:val="6C043B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AC8"/>
    <w:rsid w:val="00467AC8"/>
    <w:rsid w:val="007A21D0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30CC0-901A-4104-9298-5FC5453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C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a"/>
    <w:link w:val="2Char"/>
    <w:qFormat/>
    <w:rsid w:val="00467AC8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7AC8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List Paragraph"/>
    <w:aliases w:val="Γράφημα"/>
    <w:basedOn w:val="a"/>
    <w:uiPriority w:val="34"/>
    <w:qFormat/>
    <w:rsid w:val="00467AC8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User1</cp:lastModifiedBy>
  <cp:revision>2</cp:revision>
  <dcterms:created xsi:type="dcterms:W3CDTF">2020-09-11T10:34:00Z</dcterms:created>
  <dcterms:modified xsi:type="dcterms:W3CDTF">2020-09-11T10:34:00Z</dcterms:modified>
</cp:coreProperties>
</file>